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096BA8" w:rsidRDefault="00792F23">
      <w:pPr>
        <w:spacing w:before="240" w:line="240" w:lineRule="auto"/>
        <w:jc w:val="center"/>
        <w:rPr>
          <w:rFonts w:ascii="Times New Roman" w:eastAsia="Times New Roman" w:hAnsi="Times New Roman" w:cs="Times New Roman"/>
          <w:sz w:val="92"/>
          <w:szCs w:val="92"/>
        </w:rPr>
      </w:pPr>
      <w:r>
        <w:rPr>
          <w:rFonts w:ascii="Times New Roman" w:eastAsia="Times New Roman" w:hAnsi="Times New Roman" w:cs="Times New Roman"/>
          <w:sz w:val="140"/>
          <w:szCs w:val="140"/>
        </w:rPr>
        <w:t>50</w:t>
      </w:r>
      <w:r>
        <w:rPr>
          <w:rFonts w:ascii="Times New Roman" w:eastAsia="Times New Roman" w:hAnsi="Times New Roman" w:cs="Times New Roman"/>
          <w:sz w:val="92"/>
          <w:szCs w:val="92"/>
        </w:rPr>
        <w:t xml:space="preserve"> years of care, training, transformation</w:t>
      </w:r>
    </w:p>
    <w:p w14:paraId="00000002" w14:textId="77777777" w:rsidR="00096BA8" w:rsidRDefault="00096BA8">
      <w:pPr>
        <w:spacing w:line="240" w:lineRule="auto"/>
        <w:jc w:val="center"/>
        <w:rPr>
          <w:rFonts w:ascii="Times New Roman" w:eastAsia="Times New Roman" w:hAnsi="Times New Roman" w:cs="Times New Roman"/>
          <w:i/>
          <w:iCs/>
          <w:sz w:val="30"/>
          <w:szCs w:val="30"/>
        </w:rPr>
      </w:pPr>
    </w:p>
    <w:p w14:paraId="00000003" w14:textId="77777777" w:rsidR="00096BA8" w:rsidRDefault="00792F23">
      <w:pPr>
        <w:spacing w:line="240" w:lineRule="auto"/>
        <w:jc w:val="center"/>
        <w:rPr>
          <w:rFonts w:ascii="Times New Roman" w:eastAsia="Times New Roman" w:hAnsi="Times New Roman" w:cs="Times New Roman"/>
          <w:i/>
          <w:iCs/>
          <w:sz w:val="30"/>
          <w:szCs w:val="30"/>
        </w:rPr>
      </w:pPr>
      <w:r>
        <w:rPr>
          <w:rFonts w:ascii="Times New Roman" w:eastAsia="Times New Roman" w:hAnsi="Times New Roman" w:cs="Times New Roman"/>
          <w:i/>
          <w:iCs/>
          <w:sz w:val="30"/>
          <w:szCs w:val="30"/>
        </w:rPr>
        <w:t>Born from a physician shortage, The Wright Center delivers care, trains future physicians, and reshapes health care far beyond Northeast Pennsylvania</w:t>
      </w:r>
    </w:p>
    <w:p w14:paraId="00000004" w14:textId="77777777" w:rsidR="00096BA8" w:rsidRDefault="00096BA8">
      <w:pPr>
        <w:spacing w:line="240" w:lineRule="auto"/>
      </w:pPr>
    </w:p>
    <w:p w14:paraId="00000005" w14:textId="77777777" w:rsidR="00096BA8" w:rsidRDefault="00792F2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began as a solution to the physician shortage in Northeast Pennsylvania a half century ago has grown into a health care enterprise that serves more than 38,000 patients annually while creating tomorrow’s primary and interprofessional health care workforce. </w:t>
      </w:r>
    </w:p>
    <w:p w14:paraId="00000006" w14:textId="77777777" w:rsidR="00096BA8" w:rsidRDefault="00096BA8">
      <w:pPr>
        <w:spacing w:line="240" w:lineRule="auto"/>
        <w:rPr>
          <w:rFonts w:ascii="Times New Roman" w:eastAsia="Times New Roman" w:hAnsi="Times New Roman" w:cs="Times New Roman"/>
          <w:sz w:val="24"/>
          <w:szCs w:val="24"/>
        </w:rPr>
      </w:pPr>
    </w:p>
    <w:p w14:paraId="00000007" w14:textId="77777777" w:rsidR="00096BA8" w:rsidRDefault="00792F23">
      <w:pPr>
        <w:spacing w:line="240" w:lineRule="auto"/>
        <w:rPr>
          <w:rFonts w:ascii="Times New Roman" w:eastAsia="Times New Roman" w:hAnsi="Times New Roman" w:cs="Times New Roman"/>
          <w:sz w:val="24"/>
          <w:szCs w:val="24"/>
        </w:rPr>
      </w:pPr>
      <w:bookmarkStart w:id="0" w:name="_heading=h.xao560tux6tw" w:colFirst="0" w:colLast="0"/>
      <w:bookmarkEnd w:id="0"/>
      <w:r>
        <w:rPr>
          <w:rFonts w:ascii="Times New Roman" w:eastAsia="Times New Roman" w:hAnsi="Times New Roman" w:cs="Times New Roman"/>
          <w:sz w:val="24"/>
          <w:szCs w:val="24"/>
        </w:rPr>
        <w:t xml:space="preserve">Since 1976, The Wright Centers for Community Health, Graduate Medical Education, and Patient &amp; Community Engagement have been a cornerstone of health care in the region. As a physician-led, community-owned nonprofit, The Wright Center employs nearly 670 professionals – including 177 physician resident and fellow physicians and educates nearly 200 interprofessional learners each year. Through strategic partnerships with more than a dozen academic institutions, including A.T. Still University School of Osteopathic Medicine in Arizona and NYU Langone Health, The Wright Center is expanding access to care, improving community health, and shaping the future of health care on a national scale. </w:t>
      </w:r>
    </w:p>
    <w:p w14:paraId="00000008" w14:textId="77777777" w:rsidR="00096BA8" w:rsidRDefault="00096BA8">
      <w:pPr>
        <w:spacing w:line="240" w:lineRule="auto"/>
        <w:rPr>
          <w:rFonts w:ascii="Times New Roman" w:eastAsia="Times New Roman" w:hAnsi="Times New Roman" w:cs="Times New Roman"/>
          <w:sz w:val="24"/>
          <w:szCs w:val="24"/>
        </w:rPr>
      </w:pPr>
      <w:bookmarkStart w:id="1" w:name="_heading=h.y36dcnab5cca" w:colFirst="0" w:colLast="0"/>
      <w:bookmarkEnd w:id="1"/>
    </w:p>
    <w:p w14:paraId="00000009" w14:textId="77777777" w:rsidR="00096BA8" w:rsidRDefault="00792F2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 Federally Qualified Health Center Look-Alike (FQLA), The Wright Center operates a growing network of community health centers in Lackawanna, Luzerne, Wayne, and Wyoming counties, including a mobile medical and dental unit, Driving Better Health. Each offers affordable, high-quality, whole-person primary health services to people of all ages, regardless of their insurance status, ZIP code, or ability to pay. </w:t>
      </w:r>
    </w:p>
    <w:p w14:paraId="0000000A" w14:textId="77777777" w:rsidR="00096BA8" w:rsidRDefault="00096BA8">
      <w:pPr>
        <w:spacing w:line="240" w:lineRule="auto"/>
        <w:rPr>
          <w:rFonts w:ascii="Times New Roman" w:eastAsia="Times New Roman" w:hAnsi="Times New Roman" w:cs="Times New Roman"/>
          <w:sz w:val="24"/>
          <w:szCs w:val="24"/>
        </w:rPr>
      </w:pPr>
    </w:p>
    <w:p w14:paraId="0000000B" w14:textId="77777777" w:rsidR="00096BA8" w:rsidRDefault="00792F23">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Training for the future</w:t>
      </w:r>
    </w:p>
    <w:p w14:paraId="0000000C" w14:textId="77777777" w:rsidR="00096BA8" w:rsidRDefault="00792F2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completing his fellowship in hematology and oncology at the University of Washington in Seattle in 1971, Dr. Robert E. Wright, the namesake founder of The Wright Center, returned home to Lackawanna County, driven by a deep sense of duty to address the critical shortage of specialists in his field. </w:t>
      </w:r>
    </w:p>
    <w:p w14:paraId="0000000D" w14:textId="77777777" w:rsidR="00096BA8" w:rsidRDefault="00096BA8">
      <w:pPr>
        <w:spacing w:line="240" w:lineRule="auto"/>
        <w:rPr>
          <w:rFonts w:ascii="Times New Roman" w:eastAsia="Times New Roman" w:hAnsi="Times New Roman" w:cs="Times New Roman"/>
          <w:sz w:val="24"/>
          <w:szCs w:val="24"/>
        </w:rPr>
      </w:pPr>
    </w:p>
    <w:p w14:paraId="0000000E" w14:textId="77777777" w:rsidR="00096BA8" w:rsidRDefault="00792F2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Recognizing the growing physician shortage in Northeast Pennsylvania and beyond, he grappled with a fundamental challenge: how to continue expanding his and other physicians’ knowledge and expertise while navigating the relentless demands of modern medical practice. </w:t>
      </w:r>
    </w:p>
    <w:p w14:paraId="0000000F" w14:textId="77777777" w:rsidR="00096BA8" w:rsidRDefault="00096BA8">
      <w:pPr>
        <w:spacing w:line="240" w:lineRule="auto"/>
        <w:rPr>
          <w:rFonts w:ascii="Times New Roman" w:eastAsia="Times New Roman" w:hAnsi="Times New Roman" w:cs="Times New Roman"/>
          <w:sz w:val="24"/>
          <w:szCs w:val="24"/>
        </w:rPr>
      </w:pPr>
    </w:p>
    <w:p w14:paraId="00000010" w14:textId="77777777" w:rsidR="00096BA8" w:rsidRDefault="00792F2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response, Dr. Wright established the Scranton-Temple Residency Program on Feb. 17, 1976 with community support and a Primary Care Workforce Development Grant from the U.S. Health Resources and Services Administration (HRSA) Bureau of Health Manpower. The program, designed to attract medical school graduates to the region for internal medicine residencies, welcomed its inaugural class of six resident physicians one year later, in 1977. </w:t>
      </w:r>
    </w:p>
    <w:p w14:paraId="00000011" w14:textId="77777777" w:rsidR="00096BA8" w:rsidRDefault="00096BA8">
      <w:pPr>
        <w:spacing w:line="240" w:lineRule="auto"/>
        <w:rPr>
          <w:rFonts w:ascii="Times New Roman" w:eastAsia="Times New Roman" w:hAnsi="Times New Roman" w:cs="Times New Roman"/>
          <w:sz w:val="24"/>
          <w:szCs w:val="24"/>
        </w:rPr>
      </w:pPr>
    </w:p>
    <w:p w14:paraId="00000012" w14:textId="77777777" w:rsidR="00096BA8" w:rsidRDefault="00792F23">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Since then, The Wright Center has expanded its accredited physician training programs to include residencies in Physical Medicine &amp; Rehabilitation and Family Medicine, as well as fellowships in Cardiovascular Disease, Gastroenterology, and Geriatrics. To date, its residency and fellowship programs have graduated more than</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1,100</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physicians, many of whom provide care in underserved communities similar to those where they trained. </w:t>
      </w:r>
    </w:p>
    <w:p w14:paraId="00000013" w14:textId="77777777" w:rsidR="00096BA8" w:rsidRDefault="00096BA8">
      <w:pPr>
        <w:spacing w:line="240" w:lineRule="auto"/>
        <w:rPr>
          <w:rFonts w:ascii="Times New Roman" w:eastAsia="Times New Roman" w:hAnsi="Times New Roman" w:cs="Times New Roman"/>
          <w:sz w:val="24"/>
          <w:szCs w:val="24"/>
        </w:rPr>
      </w:pPr>
    </w:p>
    <w:p w14:paraId="00000014" w14:textId="77777777" w:rsidR="00096BA8" w:rsidRDefault="00792F2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2011, The Wright Center revolutionized medical education by launching the Graduate Medical Education Safety-Net Consortium (GME-SNC) – an innovative, mission-driven model that seamlessly integrates patient care with workforce development to combat primary care shortages and improve access to care. Through strategic partnerships with The Wright Center’s community health centers and regional health care leaders – including Allied Services, Commonwealth Health, Geisinger Health System, and the Veterans Affairs Medical Center – physician residents and fellows are embedded directly within underserved communities, delivering care where it is needed most. </w:t>
      </w:r>
    </w:p>
    <w:p w14:paraId="00000015" w14:textId="77777777" w:rsidR="00096BA8" w:rsidRDefault="00096BA8">
      <w:pPr>
        <w:spacing w:line="240" w:lineRule="auto"/>
        <w:rPr>
          <w:rFonts w:ascii="Times New Roman" w:eastAsia="Times New Roman" w:hAnsi="Times New Roman" w:cs="Times New Roman"/>
          <w:sz w:val="24"/>
          <w:szCs w:val="24"/>
        </w:rPr>
      </w:pPr>
    </w:p>
    <w:p w14:paraId="00000016" w14:textId="77777777" w:rsidR="00096BA8" w:rsidRDefault="00792F2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pioneering approach expands access to high-quality, whole-person primary health services, increases the likelihood of graduates working in underserved areas, improves access to care, and ensures compassionate care is available for every individual.</w:t>
      </w:r>
    </w:p>
    <w:p w14:paraId="00000017" w14:textId="77777777" w:rsidR="00096BA8" w:rsidRDefault="00096BA8">
      <w:pPr>
        <w:spacing w:line="240" w:lineRule="auto"/>
        <w:rPr>
          <w:rFonts w:ascii="Times New Roman" w:eastAsia="Times New Roman" w:hAnsi="Times New Roman" w:cs="Times New Roman"/>
          <w:sz w:val="24"/>
          <w:szCs w:val="24"/>
        </w:rPr>
      </w:pPr>
    </w:p>
    <w:p w14:paraId="00000018" w14:textId="77777777" w:rsidR="00096BA8" w:rsidRDefault="00792F2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Today, The Wright Center is one of the nation’s largest Teaching Health Center GME-SNCs funded by HRSA. This replicable and scalable GME-SNC, supported and touted by national accrediting and state licensing agencies, effectively untethers communities from hospital-based workforce generation and the historical hospital-centric dominance of public graduate medical education investments. It bridges the gap between where most care is delivered and where the health care workforce is trained and provides access to socially missioned, public-health programming that accelerates primary care solutions.</w:t>
      </w:r>
    </w:p>
    <w:p w14:paraId="00000019" w14:textId="77777777" w:rsidR="00096BA8" w:rsidRDefault="00096BA8">
      <w:pPr>
        <w:spacing w:line="240" w:lineRule="auto"/>
        <w:rPr>
          <w:rFonts w:ascii="Times New Roman" w:eastAsia="Times New Roman" w:hAnsi="Times New Roman" w:cs="Times New Roman"/>
          <w:sz w:val="24"/>
          <w:szCs w:val="24"/>
        </w:rPr>
      </w:pPr>
    </w:p>
    <w:p w14:paraId="0000001A" w14:textId="77777777" w:rsidR="00096BA8" w:rsidRPr="007C7A4D" w:rsidRDefault="00792F23">
      <w:pPr>
        <w:spacing w:line="240" w:lineRule="auto"/>
        <w:rPr>
          <w:rFonts w:ascii="Times New Roman" w:eastAsia="Times New Roman" w:hAnsi="Times New Roman" w:cs="Times New Roman"/>
          <w:sz w:val="24"/>
          <w:szCs w:val="24"/>
        </w:rPr>
      </w:pPr>
      <w:bookmarkStart w:id="2" w:name="_heading=h.n0mu9is8o6pe" w:colFirst="0" w:colLast="0"/>
      <w:bookmarkStart w:id="3" w:name="_GoBack"/>
      <w:bookmarkEnd w:id="2"/>
      <w:bookmarkEnd w:id="3"/>
      <w:r w:rsidRPr="007C7A4D">
        <w:rPr>
          <w:rFonts w:ascii="Times New Roman" w:eastAsia="Times New Roman" w:hAnsi="Times New Roman" w:cs="Times New Roman"/>
          <w:sz w:val="24"/>
          <w:szCs w:val="24"/>
        </w:rPr>
        <w:t>“Fifty years ago, Dr. Wright ignited a movement that continues to shape the future of health care in our region and beyond as The Wright Center expands and evolves innovative, community-driven graduate medical education models that strengthen our workforce, dismantle barriers to care, and ensure health care access for everyone,” said Dr. Linda Thomas-Hemak, president and CEO of The Wright Centers for Community Health and Graduate Medical Education. “Together, we are reimagining a future in which the health of our communities is prioritized, the medical profession is reinvigorated, and affordable, whole-person primary and preventive health services are the standard, not the exception.”</w:t>
      </w:r>
    </w:p>
    <w:p w14:paraId="0000001B" w14:textId="77777777" w:rsidR="00096BA8" w:rsidRDefault="00096BA8">
      <w:pPr>
        <w:spacing w:line="240" w:lineRule="auto"/>
        <w:rPr>
          <w:rFonts w:ascii="Times New Roman" w:eastAsia="Times New Roman" w:hAnsi="Times New Roman" w:cs="Times New Roman"/>
          <w:sz w:val="24"/>
          <w:szCs w:val="24"/>
        </w:rPr>
      </w:pPr>
    </w:p>
    <w:p w14:paraId="0000001C" w14:textId="77777777" w:rsidR="00096BA8" w:rsidRDefault="00792F23">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Caring for the community</w:t>
      </w:r>
    </w:p>
    <w:p w14:paraId="0000001D" w14:textId="77777777" w:rsidR="00096BA8" w:rsidRDefault="00792F2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Wright Center for Community Health, a patient-governed organization, serves patients of all ages, income levels, and insurance statuses through an array of innovative programs and </w:t>
      </w:r>
      <w:r>
        <w:rPr>
          <w:rFonts w:ascii="Times New Roman" w:eastAsia="Times New Roman" w:hAnsi="Times New Roman" w:cs="Times New Roman"/>
          <w:sz w:val="24"/>
          <w:szCs w:val="24"/>
        </w:rPr>
        <w:lastRenderedPageBreak/>
        <w:t xml:space="preserve">services. In fiscal year 2024-25, more than 40% of its patients were covered by Medicaid or CHIP, just over 20% by Medicare, and more than 6% were uninsured.  </w:t>
      </w:r>
    </w:p>
    <w:p w14:paraId="0000001E" w14:textId="77777777" w:rsidR="00096BA8" w:rsidRDefault="00096BA8">
      <w:pPr>
        <w:spacing w:line="240" w:lineRule="auto"/>
        <w:rPr>
          <w:rFonts w:ascii="Times New Roman" w:eastAsia="Times New Roman" w:hAnsi="Times New Roman" w:cs="Times New Roman"/>
          <w:sz w:val="24"/>
          <w:szCs w:val="24"/>
        </w:rPr>
      </w:pPr>
    </w:p>
    <w:p w14:paraId="0000001F" w14:textId="77777777" w:rsidR="00096BA8" w:rsidRDefault="00792F2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same fiscal year, The Wright Center provided care to more than 38,300 individual patients. Its integrated care model typically ensures that patients can conveniently access medical, dental, and behavioral health services, including addiction treatment and recovery support, at a single location. As a Pennsylvania-designated Opioid Use Disorder Center of Excellence, The Wright Center plays a vital role in addressing the opioid crisis by offering evidence-based treatment and comprehensive, integrated assistance.</w:t>
      </w:r>
    </w:p>
    <w:p w14:paraId="00000020" w14:textId="77777777" w:rsidR="00096BA8" w:rsidRDefault="00096BA8">
      <w:pPr>
        <w:spacing w:line="240" w:lineRule="auto"/>
        <w:rPr>
          <w:rFonts w:ascii="Times New Roman" w:eastAsia="Times New Roman" w:hAnsi="Times New Roman" w:cs="Times New Roman"/>
          <w:sz w:val="24"/>
          <w:szCs w:val="24"/>
        </w:rPr>
      </w:pPr>
    </w:p>
    <w:p w14:paraId="00000021" w14:textId="77777777" w:rsidR="00096BA8" w:rsidRDefault="00792F2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HRSA designated The Wright Center for Community Health as an FQLA in 2019, recognizing its commitment to accessible, patient-centered medical home practices. This important designation underscores The Wright Center’s dedication to breaking down geographic, linguistic, and financial barriers to care while prioritizing comprehensive, coordinated primary and preventive services. Through advanced care management for patients with complex needs and a strong focus on quality improvement – including the use of health information technology – The Wright Center actively works to improve access to care and community health outcomes.</w:t>
      </w:r>
    </w:p>
    <w:p w14:paraId="00000022" w14:textId="77777777" w:rsidR="00096BA8" w:rsidRDefault="00096BA8">
      <w:pPr>
        <w:spacing w:line="240" w:lineRule="auto"/>
        <w:rPr>
          <w:rFonts w:ascii="Times New Roman" w:eastAsia="Times New Roman" w:hAnsi="Times New Roman" w:cs="Times New Roman"/>
          <w:sz w:val="24"/>
          <w:szCs w:val="24"/>
        </w:rPr>
      </w:pPr>
    </w:p>
    <w:p w14:paraId="00000023" w14:textId="77777777" w:rsidR="00096BA8" w:rsidRDefault="00792F2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Wright Center’s community health centers in Clarks Summit, Jermyn, Scranton, and Wilkes-Barre have been recognized by the National Committee for Quality Assurance as Patient-Centered Medical Homes. This prestigious designation highlights the nonprofit’s dedication to delivering affordable, high-quality, whole-person primary health services for everyone. The patient-centered medical home model strengthens patient-clinician relationships, improves chronic disease management, enhances care coordination, boosts staff satisfaction, and helps reduce overall health care costs.</w:t>
      </w:r>
    </w:p>
    <w:p w14:paraId="00000024" w14:textId="77777777" w:rsidR="00096BA8" w:rsidRDefault="00096BA8">
      <w:pPr>
        <w:spacing w:line="240" w:lineRule="auto"/>
        <w:rPr>
          <w:rFonts w:ascii="Times New Roman" w:eastAsia="Times New Roman" w:hAnsi="Times New Roman" w:cs="Times New Roman"/>
          <w:sz w:val="24"/>
          <w:szCs w:val="24"/>
        </w:rPr>
      </w:pPr>
    </w:p>
    <w:p w14:paraId="00000025" w14:textId="662E6AEF" w:rsidR="00096BA8" w:rsidRPr="00866ED6" w:rsidRDefault="00792F23">
      <w:pPr>
        <w:spacing w:line="240" w:lineRule="auto"/>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A standout initiative, the Healthy Maternal Opiate Medical Support (Healthy MOMS) Program is a groundbreaking, multi-agency collaboration uniting health care providers, legal services, housing assistance, and social service organizations across seven counties in Northeast Pennsylvania. This program provides wraparound support – including prenatal, perinatal, and postpartum care, as well as medication-assisted treatment – empowering mothers on their recovery journey while reducing incidences of neonatal abstinence syndrome. </w:t>
      </w:r>
      <w:r w:rsidRPr="00866ED6">
        <w:rPr>
          <w:rFonts w:ascii="Times New Roman" w:eastAsia="Times New Roman" w:hAnsi="Times New Roman" w:cs="Times New Roman"/>
          <w:bCs/>
          <w:sz w:val="24"/>
          <w:szCs w:val="24"/>
        </w:rPr>
        <w:t xml:space="preserve">Since its launch in 2018, Healthy MOMS has helped </w:t>
      </w:r>
      <w:r w:rsidR="00866ED6" w:rsidRPr="00866ED6">
        <w:rPr>
          <w:rFonts w:ascii="Times New Roman" w:eastAsia="Times New Roman" w:hAnsi="Times New Roman" w:cs="Times New Roman"/>
          <w:bCs/>
          <w:sz w:val="24"/>
          <w:szCs w:val="24"/>
        </w:rPr>
        <w:t>more than 600</w:t>
      </w:r>
      <w:r w:rsidRPr="00866ED6">
        <w:rPr>
          <w:rFonts w:ascii="Times New Roman" w:eastAsia="Times New Roman" w:hAnsi="Times New Roman" w:cs="Times New Roman"/>
          <w:bCs/>
          <w:sz w:val="24"/>
          <w:szCs w:val="24"/>
        </w:rPr>
        <w:t xml:space="preserve"> mothers and celebrated the births of </w:t>
      </w:r>
      <w:r w:rsidR="00866ED6" w:rsidRPr="00866ED6">
        <w:rPr>
          <w:rFonts w:ascii="Times New Roman" w:eastAsia="Times New Roman" w:hAnsi="Times New Roman" w:cs="Times New Roman"/>
          <w:bCs/>
          <w:sz w:val="24"/>
          <w:szCs w:val="24"/>
        </w:rPr>
        <w:t>more than 330</w:t>
      </w:r>
      <w:r w:rsidRPr="00866ED6">
        <w:rPr>
          <w:rFonts w:ascii="Times New Roman" w:eastAsia="Times New Roman" w:hAnsi="Times New Roman" w:cs="Times New Roman"/>
          <w:bCs/>
          <w:sz w:val="24"/>
          <w:szCs w:val="24"/>
        </w:rPr>
        <w:t xml:space="preserve"> healthy infants.</w:t>
      </w:r>
    </w:p>
    <w:p w14:paraId="00000026" w14:textId="77777777" w:rsidR="00096BA8" w:rsidRDefault="00096BA8">
      <w:pPr>
        <w:spacing w:line="240" w:lineRule="auto"/>
        <w:rPr>
          <w:rFonts w:ascii="Times New Roman" w:eastAsia="Times New Roman" w:hAnsi="Times New Roman" w:cs="Times New Roman"/>
          <w:sz w:val="24"/>
          <w:szCs w:val="24"/>
        </w:rPr>
      </w:pPr>
    </w:p>
    <w:p w14:paraId="00000027" w14:textId="77777777" w:rsidR="00096BA8" w:rsidRDefault="00792F2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Since 2003, The Wright Center for Community Health has been a federally recognized Ryan White provider, delivering high-quality HIV primary medical care, vital support services, and life-saving medications to uninsured and underserved individuals across seven counties in Northeast Pennsylvania. Today, The Wright Center’s Ryan White Clinic provides compassionate, patient-centered care to nearly 500 individuals through its clinical program, while its medical case management program offers critical support to about 300 clients – many of whom benefit from both services.</w:t>
      </w:r>
    </w:p>
    <w:p w14:paraId="00000028" w14:textId="77777777" w:rsidR="00096BA8" w:rsidRDefault="00096BA8">
      <w:pPr>
        <w:spacing w:line="240" w:lineRule="auto"/>
        <w:rPr>
          <w:rFonts w:ascii="Times New Roman" w:eastAsia="Times New Roman" w:hAnsi="Times New Roman" w:cs="Times New Roman"/>
          <w:b/>
          <w:bCs/>
          <w:sz w:val="28"/>
          <w:szCs w:val="28"/>
        </w:rPr>
      </w:pPr>
    </w:p>
    <w:p w14:paraId="00000029" w14:textId="77777777" w:rsidR="00096BA8" w:rsidRDefault="00792F23">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Lending a hand</w:t>
      </w:r>
    </w:p>
    <w:p w14:paraId="0000002A" w14:textId="77777777" w:rsidR="00096BA8" w:rsidRDefault="00792F2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Wright Center remains deeply committed to uplifting the most under-resourced individuals and families across Northeast Pennsylvania, including those facing poverty, food insecurity, </w:t>
      </w:r>
      <w:r>
        <w:rPr>
          <w:rFonts w:ascii="Times New Roman" w:eastAsia="Times New Roman" w:hAnsi="Times New Roman" w:cs="Times New Roman"/>
          <w:sz w:val="24"/>
          <w:szCs w:val="24"/>
        </w:rPr>
        <w:lastRenderedPageBreak/>
        <w:t>homelessness, social isolation, transportation barriers, and other significant hardships. Its nonprofit subsidiary, The Wright Center for Patient &amp; Community Engagement (TWCPCE), drives these vital community outreach efforts, ensuring direct support reaches those in need.</w:t>
      </w:r>
    </w:p>
    <w:p w14:paraId="0000002B" w14:textId="77777777" w:rsidR="00096BA8" w:rsidRDefault="00096BA8">
      <w:pPr>
        <w:spacing w:line="240" w:lineRule="auto"/>
        <w:rPr>
          <w:rFonts w:ascii="Times New Roman" w:eastAsia="Times New Roman" w:hAnsi="Times New Roman" w:cs="Times New Roman"/>
          <w:sz w:val="24"/>
          <w:szCs w:val="24"/>
        </w:rPr>
      </w:pPr>
    </w:p>
    <w:p w14:paraId="0000002C" w14:textId="77777777" w:rsidR="00096BA8" w:rsidRDefault="00792F2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the 2024-25 fiscal year, TWCPCE distributed nutritious food to 2,648 local families through regional food drives at The Wright Center’s community health centers. It also provided 1,389 children with backpacks stocked with essential school supplies and assisted 726 patients with transportation to critical medical appointments. Additionally, TWCPCE helped 629 people with utility bill assistance and supplied clothing, including coats, hats, scarves, and gloves, to more than 22,000 individuals.</w:t>
      </w:r>
    </w:p>
    <w:p w14:paraId="0000002D" w14:textId="77777777" w:rsidR="00096BA8" w:rsidRDefault="00096BA8">
      <w:pPr>
        <w:spacing w:line="240" w:lineRule="auto"/>
        <w:rPr>
          <w:rFonts w:ascii="Times New Roman" w:eastAsia="Times New Roman" w:hAnsi="Times New Roman" w:cs="Times New Roman"/>
          <w:sz w:val="24"/>
          <w:szCs w:val="24"/>
        </w:rPr>
      </w:pPr>
      <w:bookmarkStart w:id="4" w:name="_heading=h.pfmowdh0pe86" w:colFirst="0" w:colLast="0"/>
      <w:bookmarkEnd w:id="4"/>
    </w:p>
    <w:p w14:paraId="0000002E" w14:textId="77777777" w:rsidR="00096BA8" w:rsidRDefault="00792F2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more information about The Wright Centers for Community Health, Graduate Medical Education, and Patient &amp; Community Engagement, visit TheWrightCenter.com or call 570-230-0019. </w:t>
      </w:r>
    </w:p>
    <w:p w14:paraId="0000002F" w14:textId="77777777" w:rsidR="00096BA8" w:rsidRDefault="00096BA8">
      <w:pPr>
        <w:spacing w:line="240" w:lineRule="auto"/>
        <w:rPr>
          <w:rFonts w:ascii="Times New Roman" w:eastAsia="Times New Roman" w:hAnsi="Times New Roman" w:cs="Times New Roman"/>
          <w:sz w:val="24"/>
          <w:szCs w:val="24"/>
        </w:rPr>
      </w:pPr>
    </w:p>
    <w:p w14:paraId="00000030" w14:textId="77777777" w:rsidR="00096BA8" w:rsidRDefault="00096BA8">
      <w:pPr>
        <w:spacing w:line="240" w:lineRule="auto"/>
        <w:rPr>
          <w:rFonts w:ascii="Times New Roman" w:eastAsia="Times New Roman" w:hAnsi="Times New Roman" w:cs="Times New Roman"/>
          <w:sz w:val="24"/>
          <w:szCs w:val="24"/>
        </w:rPr>
      </w:pPr>
    </w:p>
    <w:p w14:paraId="00000031" w14:textId="77777777" w:rsidR="00096BA8" w:rsidRDefault="00096BA8">
      <w:pPr>
        <w:spacing w:line="240" w:lineRule="auto"/>
        <w:rPr>
          <w:rFonts w:ascii="Times New Roman" w:eastAsia="Times New Roman" w:hAnsi="Times New Roman" w:cs="Times New Roman"/>
          <w:sz w:val="24"/>
          <w:szCs w:val="24"/>
        </w:rPr>
      </w:pPr>
    </w:p>
    <w:p w14:paraId="00000032" w14:textId="77777777" w:rsidR="00096BA8" w:rsidRDefault="00096BA8">
      <w:pPr>
        <w:spacing w:line="240" w:lineRule="auto"/>
        <w:rPr>
          <w:rFonts w:ascii="Times New Roman" w:eastAsia="Times New Roman" w:hAnsi="Times New Roman" w:cs="Times New Roman"/>
          <w:sz w:val="24"/>
          <w:szCs w:val="24"/>
        </w:rPr>
      </w:pPr>
    </w:p>
    <w:p w14:paraId="00000033" w14:textId="77777777" w:rsidR="00096BA8" w:rsidRDefault="00096BA8">
      <w:pPr>
        <w:spacing w:line="240" w:lineRule="auto"/>
        <w:rPr>
          <w:rFonts w:ascii="Times New Roman" w:eastAsia="Times New Roman" w:hAnsi="Times New Roman" w:cs="Times New Roman"/>
          <w:sz w:val="24"/>
          <w:szCs w:val="24"/>
        </w:rPr>
      </w:pPr>
    </w:p>
    <w:p w14:paraId="00000034" w14:textId="77777777" w:rsidR="00096BA8" w:rsidRDefault="00096BA8">
      <w:pPr>
        <w:spacing w:line="240" w:lineRule="auto"/>
        <w:rPr>
          <w:rFonts w:ascii="Times New Roman" w:eastAsia="Times New Roman" w:hAnsi="Times New Roman" w:cs="Times New Roman"/>
          <w:sz w:val="24"/>
          <w:szCs w:val="24"/>
        </w:rPr>
      </w:pPr>
    </w:p>
    <w:p w14:paraId="00000035" w14:textId="77777777" w:rsidR="00096BA8" w:rsidRDefault="00096BA8">
      <w:pPr>
        <w:spacing w:line="240" w:lineRule="auto"/>
      </w:pPr>
    </w:p>
    <w:p w14:paraId="00000036" w14:textId="77777777" w:rsidR="00096BA8" w:rsidRDefault="00096BA8">
      <w:pPr>
        <w:spacing w:line="240" w:lineRule="auto"/>
      </w:pPr>
    </w:p>
    <w:sectPr w:rsidR="00096BA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1B610040-FA62-4F8A-9B91-D8AB06201857}"/>
  </w:font>
  <w:font w:name="Calibri">
    <w:panose1 w:val="020F0502020204030204"/>
    <w:charset w:val="00"/>
    <w:family w:val="swiss"/>
    <w:pitch w:val="variable"/>
    <w:sig w:usb0="E4002EFF" w:usb1="C200247B" w:usb2="00000009" w:usb3="00000000" w:csb0="000001FF" w:csb1="00000000"/>
    <w:embedRegular r:id="rId2" w:fontKey="{2490DD43-67D5-47BE-816D-DD7AA92374A8}"/>
  </w:font>
  <w:font w:name="Cambria">
    <w:panose1 w:val="02040503050406030204"/>
    <w:charset w:val="00"/>
    <w:family w:val="roman"/>
    <w:pitch w:val="variable"/>
    <w:sig w:usb0="E00006FF" w:usb1="420024FF" w:usb2="02000000" w:usb3="00000000" w:csb0="0000019F" w:csb1="00000000"/>
    <w:embedRegular r:id="rId3" w:fontKey="{46DF4F87-13A6-4851-AF5F-81A356C9EB9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BA8"/>
    <w:rsid w:val="00096BA8"/>
    <w:rsid w:val="00792F23"/>
    <w:rsid w:val="007C7A4D"/>
    <w:rsid w:val="00866E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5F6F4"/>
  <w15:docId w15:val="{19E0C5F5-7FFC-4E29-BF0C-32BBE2B9B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2327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327D"/>
    <w:rPr>
      <w:rFonts w:ascii="Segoe UI" w:hAnsi="Segoe UI" w:cs="Segoe UI"/>
      <w:sz w:val="18"/>
      <w:szCs w:val="18"/>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p/rGSdDwtwDDrb/pwefvYPR+MQ==">CgMxLjAyDmgueGFvNTYwdHV4NnR3Mg5oLnkzNmRjbmFiNWNjYTIOaC5uMG11OWlzOG82cGUyDmgucGZtb3dkaDBwZTg2OAByITFldUk5MjJESWgyS3M2X1FDTDBmM21mcm9GV1pCYVhyaA==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1459</Words>
  <Characters>8319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The Wright Center</Company>
  <LinksUpToDate>false</LinksUpToDate>
  <CharactersWithSpaces>9759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Krzywicki</dc:creator>
  <cp:lastModifiedBy>Paul Krzywicki</cp:lastModifiedBy>
  <cp:revision>6</cp:revision>
  <dcterms:created xsi:type="dcterms:W3CDTF">2026-01-29T21:14:00Z</dcterms:created>
  <dcterms:modified xsi:type="dcterms:W3CDTF">2026-05-25T12:04:00Z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6225ce39-6d95-4bf0-b7eb-19eb5be132bf</vt:lpwstr>
  </property>
</Properties>
</file>